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829" w:rsidRDefault="00453AD5" w:rsidP="00A35A0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3181350" cy="504825"/>
            <wp:effectExtent l="0" t="0" r="0" b="0"/>
            <wp:docPr id="1" name="Bild 1" descr="NLWKN-logo_Westermann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LWKN-logo_Westermann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D7829" w:rsidRDefault="00DD7829" w:rsidP="00A35A0B">
      <w:pPr>
        <w:rPr>
          <w:rFonts w:ascii="Arial" w:hAnsi="Arial" w:cs="Arial"/>
          <w:b/>
          <w:sz w:val="22"/>
          <w:szCs w:val="22"/>
        </w:rPr>
      </w:pPr>
    </w:p>
    <w:p w:rsidR="003B7E26" w:rsidRDefault="003B7E26" w:rsidP="00A35A0B">
      <w:pPr>
        <w:rPr>
          <w:rFonts w:ascii="Arial" w:hAnsi="Arial" w:cs="Arial"/>
          <w:b/>
          <w:sz w:val="22"/>
          <w:szCs w:val="22"/>
        </w:rPr>
      </w:pPr>
    </w:p>
    <w:p w:rsidR="00C5038C" w:rsidRPr="00C5038C" w:rsidRDefault="003B7E26" w:rsidP="00C5038C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Beiträge zur Eingriffsregelung VIII</w:t>
      </w:r>
    </w:p>
    <w:p w:rsidR="00C5038C" w:rsidRPr="00C5038C" w:rsidRDefault="00C5038C" w:rsidP="00A35A0B">
      <w:pPr>
        <w:rPr>
          <w:rFonts w:ascii="Arial" w:eastAsia="Arial Unicode MS" w:hAnsi="Arial" w:cs="Arial"/>
          <w:sz w:val="22"/>
          <w:szCs w:val="22"/>
        </w:rPr>
      </w:pPr>
    </w:p>
    <w:p w:rsidR="00DD7829" w:rsidRPr="00C5038C" w:rsidRDefault="00453AD5" w:rsidP="00A35A0B">
      <w:pPr>
        <w:rPr>
          <w:rFonts w:ascii="Arial" w:hAnsi="Arial" w:cs="Arial"/>
          <w:b/>
          <w:sz w:val="22"/>
          <w:szCs w:val="22"/>
        </w:rPr>
      </w:pPr>
      <w:r w:rsidRPr="00C5038C">
        <w:rPr>
          <w:rFonts w:ascii="Arial" w:hAnsi="Arial" w:cs="Arial"/>
          <w:b/>
          <w:sz w:val="22"/>
          <w:szCs w:val="22"/>
        </w:rPr>
        <w:t xml:space="preserve">– Informationsdienst Naturschutz Niedersachsen </w:t>
      </w:r>
      <w:r w:rsidR="003B7E26">
        <w:rPr>
          <w:rFonts w:ascii="Arial" w:hAnsi="Arial" w:cs="Arial"/>
          <w:b/>
          <w:sz w:val="22"/>
          <w:szCs w:val="22"/>
        </w:rPr>
        <w:t>4</w:t>
      </w:r>
      <w:r w:rsidRPr="00C5038C">
        <w:rPr>
          <w:rFonts w:ascii="Arial" w:hAnsi="Arial" w:cs="Arial"/>
          <w:b/>
          <w:sz w:val="22"/>
          <w:szCs w:val="22"/>
        </w:rPr>
        <w:t>/</w:t>
      </w:r>
      <w:r w:rsidR="00184402" w:rsidRPr="00C5038C">
        <w:rPr>
          <w:rFonts w:ascii="Arial" w:hAnsi="Arial" w:cs="Arial"/>
          <w:b/>
          <w:sz w:val="22"/>
          <w:szCs w:val="22"/>
        </w:rPr>
        <w:t>20</w:t>
      </w:r>
      <w:r w:rsidRPr="00C5038C">
        <w:rPr>
          <w:rFonts w:ascii="Arial" w:hAnsi="Arial" w:cs="Arial"/>
          <w:b/>
          <w:sz w:val="22"/>
          <w:szCs w:val="22"/>
        </w:rPr>
        <w:t>2</w:t>
      </w:r>
      <w:r w:rsidR="003B7E26">
        <w:rPr>
          <w:rFonts w:ascii="Arial" w:hAnsi="Arial" w:cs="Arial"/>
          <w:b/>
          <w:sz w:val="22"/>
          <w:szCs w:val="22"/>
        </w:rPr>
        <w:t>3</w:t>
      </w:r>
      <w:r w:rsidRPr="00C5038C">
        <w:rPr>
          <w:rFonts w:ascii="Arial" w:hAnsi="Arial" w:cs="Arial"/>
          <w:b/>
          <w:sz w:val="22"/>
          <w:szCs w:val="22"/>
        </w:rPr>
        <w:t xml:space="preserve"> –</w:t>
      </w:r>
    </w:p>
    <w:p w:rsidR="00BA027C" w:rsidRPr="00C5038C" w:rsidRDefault="00BA027C" w:rsidP="00A35A0B">
      <w:pPr>
        <w:rPr>
          <w:rFonts w:ascii="Arial" w:hAnsi="Arial" w:cs="Arial"/>
          <w:i/>
          <w:sz w:val="22"/>
          <w:szCs w:val="22"/>
        </w:rPr>
      </w:pPr>
    </w:p>
    <w:p w:rsidR="003B7E26" w:rsidRPr="003B1D12" w:rsidRDefault="003B7E26" w:rsidP="003B7E26">
      <w:pPr>
        <w:widowControl/>
        <w:rPr>
          <w:rFonts w:ascii="Arial" w:eastAsia="Arial Unicode MS" w:hAnsi="Arial" w:cs="Arial"/>
          <w:i/>
          <w:sz w:val="22"/>
          <w:szCs w:val="22"/>
        </w:rPr>
      </w:pPr>
      <w:r w:rsidRPr="003B1D12">
        <w:rPr>
          <w:rFonts w:ascii="Arial" w:eastAsia="Arial Unicode MS" w:hAnsi="Arial" w:cs="Arial"/>
          <w:i/>
          <w:sz w:val="22"/>
          <w:szCs w:val="22"/>
        </w:rPr>
        <w:t>NIEDERSÄCHSISCHE</w:t>
      </w:r>
      <w:r w:rsidR="00011938">
        <w:rPr>
          <w:rFonts w:ascii="Arial" w:eastAsia="Arial Unicode MS" w:hAnsi="Arial" w:cs="Arial"/>
          <w:i/>
          <w:sz w:val="22"/>
          <w:szCs w:val="22"/>
        </w:rPr>
        <w:t>R</w:t>
      </w:r>
      <w:r w:rsidRPr="003B1D12">
        <w:rPr>
          <w:rFonts w:ascii="Arial" w:eastAsia="Arial Unicode MS" w:hAnsi="Arial" w:cs="Arial"/>
          <w:i/>
          <w:sz w:val="22"/>
          <w:szCs w:val="22"/>
        </w:rPr>
        <w:t xml:space="preserve"> LANDESBETRIEB FÜR WASSERWIRTSCHAFT, KÜSTEN- UND </w:t>
      </w:r>
      <w:r>
        <w:rPr>
          <w:rFonts w:ascii="Arial" w:eastAsia="Arial Unicode MS" w:hAnsi="Arial" w:cs="Arial"/>
          <w:i/>
          <w:sz w:val="22"/>
          <w:szCs w:val="22"/>
        </w:rPr>
        <w:br/>
      </w:r>
      <w:r w:rsidRPr="003B1D12">
        <w:rPr>
          <w:rFonts w:ascii="Arial" w:eastAsia="Arial Unicode MS" w:hAnsi="Arial" w:cs="Arial"/>
          <w:i/>
          <w:sz w:val="22"/>
          <w:szCs w:val="22"/>
        </w:rPr>
        <w:t>NATURSCHUTZ (NLWKN)</w:t>
      </w:r>
      <w:r>
        <w:rPr>
          <w:rFonts w:ascii="Arial" w:eastAsia="Arial Unicode MS" w:hAnsi="Arial" w:cs="Arial"/>
          <w:i/>
          <w:sz w:val="22"/>
          <w:szCs w:val="22"/>
        </w:rPr>
        <w:t xml:space="preserve"> (Hrsg.)</w:t>
      </w:r>
      <w:r w:rsidRPr="003B1D12">
        <w:rPr>
          <w:rFonts w:ascii="Arial" w:eastAsia="Arial Unicode MS" w:hAnsi="Arial" w:cs="Arial"/>
          <w:i/>
          <w:sz w:val="22"/>
          <w:szCs w:val="22"/>
        </w:rPr>
        <w:t xml:space="preserve"> (</w:t>
      </w:r>
      <w:r w:rsidRPr="00C5038C">
        <w:rPr>
          <w:rFonts w:ascii="Arial" w:eastAsia="Arial Unicode MS" w:hAnsi="Arial" w:cs="Arial"/>
          <w:i/>
          <w:sz w:val="22"/>
          <w:szCs w:val="22"/>
        </w:rPr>
        <w:t>202</w:t>
      </w:r>
      <w:r>
        <w:rPr>
          <w:rFonts w:ascii="Arial" w:eastAsia="Arial Unicode MS" w:hAnsi="Arial" w:cs="Arial"/>
          <w:i/>
          <w:sz w:val="22"/>
          <w:szCs w:val="22"/>
        </w:rPr>
        <w:t>3</w:t>
      </w:r>
      <w:r w:rsidRPr="00C5038C">
        <w:rPr>
          <w:rFonts w:ascii="Arial" w:eastAsia="Arial Unicode MS" w:hAnsi="Arial" w:cs="Arial"/>
          <w:i/>
          <w:sz w:val="22"/>
          <w:szCs w:val="22"/>
        </w:rPr>
        <w:t xml:space="preserve">): </w:t>
      </w:r>
      <w:r>
        <w:rPr>
          <w:rFonts w:ascii="Arial" w:eastAsia="Arial Unicode MS" w:hAnsi="Arial" w:cs="Arial"/>
          <w:i/>
          <w:sz w:val="22"/>
          <w:szCs w:val="22"/>
        </w:rPr>
        <w:t xml:space="preserve">Beiträge zur Eingriffsregelung VIII. </w:t>
      </w:r>
      <w:r w:rsidRPr="00C5038C">
        <w:rPr>
          <w:rFonts w:ascii="Arial" w:eastAsia="Arial Unicode MS" w:hAnsi="Arial" w:cs="Arial"/>
          <w:i/>
          <w:sz w:val="22"/>
          <w:szCs w:val="22"/>
        </w:rPr>
        <w:t xml:space="preserve">– </w:t>
      </w:r>
      <w:r w:rsidRPr="003B1D12">
        <w:rPr>
          <w:rFonts w:ascii="Arial" w:eastAsia="Arial Unicode MS" w:hAnsi="Arial" w:cs="Arial"/>
          <w:i/>
          <w:sz w:val="22"/>
          <w:szCs w:val="22"/>
        </w:rPr>
        <w:t>Inform.d. Naturschutz Niedersachs. 4</w:t>
      </w:r>
      <w:r>
        <w:rPr>
          <w:rFonts w:ascii="Arial" w:eastAsia="Arial Unicode MS" w:hAnsi="Arial" w:cs="Arial"/>
          <w:i/>
          <w:sz w:val="22"/>
          <w:szCs w:val="22"/>
        </w:rPr>
        <w:t>2</w:t>
      </w:r>
      <w:r w:rsidRPr="003B1D12">
        <w:rPr>
          <w:rFonts w:ascii="Arial" w:eastAsia="Arial Unicode MS" w:hAnsi="Arial" w:cs="Arial"/>
          <w:i/>
          <w:sz w:val="22"/>
          <w:szCs w:val="22"/>
        </w:rPr>
        <w:t xml:space="preserve"> (</w:t>
      </w:r>
      <w:r>
        <w:rPr>
          <w:rFonts w:ascii="Arial" w:eastAsia="Arial Unicode MS" w:hAnsi="Arial" w:cs="Arial"/>
          <w:i/>
          <w:sz w:val="22"/>
          <w:szCs w:val="22"/>
        </w:rPr>
        <w:t>4</w:t>
      </w:r>
      <w:r w:rsidRPr="003B1D12">
        <w:rPr>
          <w:rFonts w:ascii="Arial" w:eastAsia="Arial Unicode MS" w:hAnsi="Arial" w:cs="Arial"/>
          <w:i/>
          <w:sz w:val="22"/>
          <w:szCs w:val="22"/>
        </w:rPr>
        <w:t>) (</w:t>
      </w:r>
      <w:r>
        <w:rPr>
          <w:rFonts w:ascii="Arial" w:eastAsia="Arial Unicode MS" w:hAnsi="Arial" w:cs="Arial"/>
          <w:i/>
          <w:sz w:val="22"/>
          <w:szCs w:val="22"/>
        </w:rPr>
        <w:t>4</w:t>
      </w:r>
      <w:r w:rsidRPr="003B1D12">
        <w:rPr>
          <w:rFonts w:ascii="Arial" w:eastAsia="Arial Unicode MS" w:hAnsi="Arial" w:cs="Arial"/>
          <w:i/>
          <w:sz w:val="22"/>
          <w:szCs w:val="22"/>
        </w:rPr>
        <w:t>/2</w:t>
      </w:r>
      <w:r>
        <w:rPr>
          <w:rFonts w:ascii="Arial" w:eastAsia="Arial Unicode MS" w:hAnsi="Arial" w:cs="Arial"/>
          <w:i/>
          <w:sz w:val="22"/>
          <w:szCs w:val="22"/>
        </w:rPr>
        <w:t>3</w:t>
      </w:r>
      <w:r w:rsidRPr="003B1D12">
        <w:rPr>
          <w:rFonts w:ascii="Arial" w:eastAsia="Arial Unicode MS" w:hAnsi="Arial" w:cs="Arial"/>
          <w:i/>
          <w:sz w:val="22"/>
          <w:szCs w:val="22"/>
        </w:rPr>
        <w:t xml:space="preserve">): </w:t>
      </w:r>
      <w:r>
        <w:rPr>
          <w:rFonts w:ascii="Arial" w:eastAsia="Arial Unicode MS" w:hAnsi="Arial" w:cs="Arial"/>
          <w:i/>
          <w:sz w:val="22"/>
          <w:szCs w:val="22"/>
        </w:rPr>
        <w:t>233-296</w:t>
      </w:r>
      <w:r w:rsidRPr="003B1D12">
        <w:rPr>
          <w:rFonts w:ascii="Arial" w:eastAsia="Arial Unicode MS" w:hAnsi="Arial" w:cs="Arial"/>
          <w:i/>
          <w:sz w:val="22"/>
          <w:szCs w:val="22"/>
        </w:rPr>
        <w:t>.</w:t>
      </w:r>
    </w:p>
    <w:p w:rsidR="00DD7829" w:rsidRPr="00C5038C" w:rsidRDefault="00DD7829" w:rsidP="00A35A0B">
      <w:pPr>
        <w:rPr>
          <w:rFonts w:ascii="Arial" w:hAnsi="Arial" w:cs="Arial"/>
          <w:i/>
          <w:sz w:val="22"/>
          <w:szCs w:val="22"/>
        </w:rPr>
      </w:pPr>
    </w:p>
    <w:p w:rsidR="00B4362D" w:rsidRPr="00B4362D" w:rsidRDefault="00B4362D" w:rsidP="00B4362D">
      <w:pPr>
        <w:rPr>
          <w:rFonts w:ascii="Arial" w:hAnsi="Arial" w:cs="Arial"/>
          <w:sz w:val="22"/>
          <w:szCs w:val="22"/>
        </w:rPr>
      </w:pPr>
      <w:r w:rsidRPr="004F6414">
        <w:rPr>
          <w:rFonts w:ascii="Arial" w:hAnsi="Arial" w:cs="Arial"/>
          <w:sz w:val="22"/>
          <w:szCs w:val="22"/>
        </w:rPr>
        <w:t>Freiflächen-Photovoltaikanlagen</w:t>
      </w:r>
      <w:r w:rsidRPr="00B4362D">
        <w:rPr>
          <w:rFonts w:ascii="Arial" w:hAnsi="Arial" w:cs="Arial"/>
          <w:sz w:val="22"/>
          <w:szCs w:val="22"/>
        </w:rPr>
        <w:t xml:space="preserve"> werden</w:t>
      </w:r>
      <w:r w:rsidRPr="004F6414">
        <w:rPr>
          <w:rFonts w:ascii="Arial" w:hAnsi="Arial" w:cs="Arial"/>
          <w:sz w:val="22"/>
          <w:szCs w:val="22"/>
        </w:rPr>
        <w:t xml:space="preserve"> in den nächsten Jahren in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einem nicht unerheblichen Umfang Natur und Landschaft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beanspruchen.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Der Umstand, dass man sich von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diesen Anlagen einen Beitrag für eine Energiewende verspricht,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 xml:space="preserve">ändert nichts </w:t>
      </w:r>
      <w:r w:rsidRPr="00B4362D">
        <w:rPr>
          <w:rFonts w:ascii="Arial" w:hAnsi="Arial" w:cs="Arial"/>
          <w:sz w:val="22"/>
          <w:szCs w:val="22"/>
        </w:rPr>
        <w:t xml:space="preserve">an den mit der naturschutzrechtlichen </w:t>
      </w:r>
      <w:r w:rsidRPr="004F6414">
        <w:rPr>
          <w:rFonts w:ascii="Arial" w:hAnsi="Arial" w:cs="Arial"/>
          <w:sz w:val="22"/>
          <w:szCs w:val="22"/>
        </w:rPr>
        <w:t>Eingriffsregelung verbundenen Pflichten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sowie de</w:t>
      </w:r>
      <w:r w:rsidRPr="00B4362D">
        <w:rPr>
          <w:rFonts w:ascii="Arial" w:hAnsi="Arial" w:cs="Arial"/>
          <w:sz w:val="22"/>
          <w:szCs w:val="22"/>
        </w:rPr>
        <w:t>n</w:t>
      </w:r>
      <w:r w:rsidRPr="004F6414">
        <w:rPr>
          <w:rFonts w:ascii="Arial" w:hAnsi="Arial" w:cs="Arial"/>
          <w:sz w:val="22"/>
          <w:szCs w:val="22"/>
        </w:rPr>
        <w:t xml:space="preserve"> Bestimmungen des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besonderen Arten- und Biotopschutzes</w:t>
      </w:r>
      <w:r w:rsidRPr="00B4362D">
        <w:rPr>
          <w:rFonts w:ascii="Arial" w:hAnsi="Arial" w:cs="Arial"/>
          <w:sz w:val="22"/>
          <w:szCs w:val="22"/>
        </w:rPr>
        <w:t>. D</w:t>
      </w:r>
      <w:r w:rsidRPr="004F6414">
        <w:rPr>
          <w:rFonts w:ascii="Arial" w:hAnsi="Arial" w:cs="Arial"/>
          <w:sz w:val="22"/>
          <w:szCs w:val="22"/>
        </w:rPr>
        <w:t xml:space="preserve">ie Folgen dieses Ausbaus für Natur und Landschaft </w:t>
      </w:r>
      <w:r w:rsidRPr="00B4362D">
        <w:rPr>
          <w:rFonts w:ascii="Arial" w:hAnsi="Arial" w:cs="Arial"/>
          <w:sz w:val="22"/>
          <w:szCs w:val="22"/>
        </w:rPr>
        <w:t>sind</w:t>
      </w:r>
      <w:r w:rsidRPr="004F6414">
        <w:rPr>
          <w:rFonts w:ascii="Arial" w:hAnsi="Arial" w:cs="Arial"/>
          <w:sz w:val="22"/>
          <w:szCs w:val="22"/>
        </w:rPr>
        <w:t xml:space="preserve"> zu prognostizieren,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zu bewerten und zu bewältigen.</w:t>
      </w:r>
      <w:r w:rsidRPr="00B4362D">
        <w:rPr>
          <w:rFonts w:ascii="Arial" w:hAnsi="Arial" w:cs="Arial"/>
          <w:sz w:val="22"/>
          <w:szCs w:val="22"/>
        </w:rPr>
        <w:t xml:space="preserve"> </w:t>
      </w:r>
    </w:p>
    <w:p w:rsidR="00B4362D" w:rsidRPr="004F6414" w:rsidRDefault="00B4362D" w:rsidP="00B4362D">
      <w:pPr>
        <w:rPr>
          <w:rFonts w:ascii="Arial" w:hAnsi="Arial" w:cs="Arial"/>
          <w:sz w:val="22"/>
          <w:szCs w:val="22"/>
        </w:rPr>
      </w:pPr>
    </w:p>
    <w:p w:rsidR="00B4362D" w:rsidRPr="00B4362D" w:rsidRDefault="00B4362D" w:rsidP="00B4362D">
      <w:pPr>
        <w:rPr>
          <w:rFonts w:ascii="Arial" w:hAnsi="Arial" w:cs="Arial"/>
          <w:sz w:val="22"/>
          <w:szCs w:val="22"/>
        </w:rPr>
      </w:pPr>
      <w:r w:rsidRPr="004F6414">
        <w:rPr>
          <w:rFonts w:ascii="Arial" w:hAnsi="Arial" w:cs="Arial"/>
          <w:sz w:val="22"/>
          <w:szCs w:val="22"/>
        </w:rPr>
        <w:t xml:space="preserve">Der erste Beitrag des </w:t>
      </w:r>
      <w:r w:rsidRPr="00B4362D">
        <w:rPr>
          <w:rFonts w:ascii="Arial" w:hAnsi="Arial" w:cs="Arial"/>
          <w:sz w:val="22"/>
          <w:szCs w:val="22"/>
        </w:rPr>
        <w:t xml:space="preserve">neuen </w:t>
      </w:r>
      <w:r w:rsidRPr="004F6414">
        <w:rPr>
          <w:rFonts w:ascii="Arial" w:hAnsi="Arial" w:cs="Arial"/>
          <w:sz w:val="22"/>
          <w:szCs w:val="22"/>
        </w:rPr>
        <w:t>Informationsdienstes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zeigt auf, wie die mit Freiflächen-Photovoltaikanlagen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verbundenen Anforderungen eingelöst werden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können. Herausgeber dieser von Fachleuten aus Landesverwaltung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und Landkreisen erarbeiteten „Hinweise für einen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naturverträglichen Ausbau von Freiflächen-Photovoltaikanlagen“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sind das Niedersächsische Umweltministerium, der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Niedersächsische Landkreistag und die niedersächsische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Fachbehörde für Naturschutz.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 xml:space="preserve">Die Arbeitshilfe soll die </w:t>
      </w:r>
      <w:r w:rsidRPr="00B4362D">
        <w:rPr>
          <w:rFonts w:ascii="Arial" w:hAnsi="Arial" w:cs="Arial"/>
          <w:sz w:val="22"/>
          <w:szCs w:val="22"/>
        </w:rPr>
        <w:t xml:space="preserve">Umsetzung der gesetzlichen Verpflichtungen </w:t>
      </w:r>
      <w:r w:rsidRPr="004F6414">
        <w:rPr>
          <w:rFonts w:ascii="Arial" w:hAnsi="Arial" w:cs="Arial"/>
          <w:sz w:val="22"/>
          <w:szCs w:val="22"/>
        </w:rPr>
        <w:t>erleichtern</w:t>
      </w:r>
      <w:r w:rsidRPr="00B4362D">
        <w:rPr>
          <w:rFonts w:ascii="Arial" w:hAnsi="Arial" w:cs="Arial"/>
          <w:sz w:val="22"/>
          <w:szCs w:val="22"/>
        </w:rPr>
        <w:t xml:space="preserve"> und gibt</w:t>
      </w:r>
      <w:r w:rsidRPr="004F6414">
        <w:rPr>
          <w:rFonts w:ascii="Arial" w:hAnsi="Arial" w:cs="Arial"/>
          <w:sz w:val="22"/>
          <w:szCs w:val="22"/>
        </w:rPr>
        <w:t xml:space="preserve"> auch Hinweise, wie mit einer naturnahen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Gestaltung der Anlagenfelder externe Kompensationsumfänge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>verringert oder günstigenfalls vermieden werden</w:t>
      </w:r>
      <w:r w:rsidRPr="00B4362D">
        <w:rPr>
          <w:rFonts w:ascii="Arial" w:hAnsi="Arial" w:cs="Arial"/>
          <w:sz w:val="22"/>
          <w:szCs w:val="22"/>
        </w:rPr>
        <w:t xml:space="preserve"> </w:t>
      </w:r>
      <w:r w:rsidRPr="004F6414">
        <w:rPr>
          <w:rFonts w:ascii="Arial" w:hAnsi="Arial" w:cs="Arial"/>
          <w:sz w:val="22"/>
          <w:szCs w:val="22"/>
        </w:rPr>
        <w:t xml:space="preserve">können. </w:t>
      </w:r>
    </w:p>
    <w:p w:rsidR="00B4362D" w:rsidRPr="004F6414" w:rsidRDefault="00B4362D" w:rsidP="00B4362D">
      <w:pPr>
        <w:rPr>
          <w:rFonts w:ascii="Arial" w:hAnsi="Arial" w:cs="Arial"/>
          <w:sz w:val="22"/>
          <w:szCs w:val="22"/>
        </w:rPr>
      </w:pPr>
    </w:p>
    <w:p w:rsidR="00B4362D" w:rsidRPr="00B4362D" w:rsidRDefault="00B4362D" w:rsidP="00B4362D">
      <w:pPr>
        <w:rPr>
          <w:rFonts w:ascii="Arial" w:hAnsi="Arial" w:cs="Arial"/>
          <w:sz w:val="22"/>
          <w:szCs w:val="22"/>
        </w:rPr>
      </w:pPr>
      <w:bookmarkStart w:id="1" w:name="_Hlk151634706"/>
      <w:bookmarkStart w:id="2" w:name="_Hlk149739258"/>
      <w:r w:rsidRPr="00B4362D">
        <w:rPr>
          <w:rFonts w:ascii="Arial" w:hAnsi="Arial" w:cs="Arial"/>
          <w:sz w:val="22"/>
          <w:szCs w:val="22"/>
        </w:rPr>
        <w:t>Folgende weitere Themen werden im Heft behandelt:</w:t>
      </w:r>
    </w:p>
    <w:p w:rsidR="00B4362D" w:rsidRPr="00B4362D" w:rsidRDefault="00B4362D" w:rsidP="00B4362D">
      <w:pPr>
        <w:pStyle w:val="Listenabsatz"/>
        <w:numPr>
          <w:ilvl w:val="0"/>
          <w:numId w:val="36"/>
        </w:numPr>
        <w:rPr>
          <w:rFonts w:ascii="Arial" w:hAnsi="Arial" w:cs="Arial"/>
          <w:sz w:val="22"/>
          <w:szCs w:val="22"/>
        </w:rPr>
      </w:pPr>
      <w:r w:rsidRPr="00B4362D">
        <w:rPr>
          <w:rFonts w:ascii="Arial" w:hAnsi="Arial" w:cs="Arial"/>
          <w:sz w:val="22"/>
          <w:szCs w:val="22"/>
        </w:rPr>
        <w:t>Entsiegelung als Kompensationsmaßnahme?</w:t>
      </w:r>
    </w:p>
    <w:p w:rsidR="00B4362D" w:rsidRPr="00B4362D" w:rsidRDefault="00B4362D" w:rsidP="00B4362D">
      <w:pPr>
        <w:pStyle w:val="Listenabsatz"/>
        <w:numPr>
          <w:ilvl w:val="0"/>
          <w:numId w:val="36"/>
        </w:numPr>
        <w:rPr>
          <w:rFonts w:ascii="Arial" w:hAnsi="Arial" w:cs="Arial"/>
          <w:sz w:val="22"/>
          <w:szCs w:val="22"/>
        </w:rPr>
      </w:pPr>
      <w:r w:rsidRPr="00B4362D">
        <w:rPr>
          <w:rFonts w:ascii="Arial" w:hAnsi="Arial" w:cs="Arial"/>
          <w:sz w:val="22"/>
          <w:szCs w:val="22"/>
        </w:rPr>
        <w:t>Kompensation von versiegelungsbedingten Beeinträchtigungen des Bodens durch dauerhafte Umstellung auf ökologischen Landbau – erforderliches Flächenverhältnis</w:t>
      </w:r>
    </w:p>
    <w:p w:rsidR="00B4362D" w:rsidRPr="00B4362D" w:rsidRDefault="00B4362D" w:rsidP="00B4362D">
      <w:pPr>
        <w:pStyle w:val="Listenabsatz"/>
        <w:numPr>
          <w:ilvl w:val="0"/>
          <w:numId w:val="36"/>
        </w:numPr>
        <w:rPr>
          <w:rFonts w:ascii="Arial" w:hAnsi="Arial" w:cs="Arial"/>
          <w:sz w:val="22"/>
          <w:szCs w:val="22"/>
        </w:rPr>
      </w:pPr>
      <w:r w:rsidRPr="00B4362D">
        <w:rPr>
          <w:rFonts w:ascii="Arial" w:hAnsi="Arial" w:cs="Arial"/>
          <w:sz w:val="22"/>
          <w:szCs w:val="22"/>
        </w:rPr>
        <w:t>10 Jahre Kompensationsmanagement mit der Niedersächsischen Kompensationsverzeichnis-Verordnung</w:t>
      </w:r>
    </w:p>
    <w:p w:rsidR="00B4362D" w:rsidRPr="00B4362D" w:rsidRDefault="00B4362D" w:rsidP="00B4362D">
      <w:pPr>
        <w:pStyle w:val="Listenabsatz"/>
        <w:numPr>
          <w:ilvl w:val="0"/>
          <w:numId w:val="36"/>
        </w:numPr>
        <w:rPr>
          <w:rFonts w:ascii="Arial" w:hAnsi="Arial" w:cs="Arial"/>
          <w:sz w:val="22"/>
          <w:szCs w:val="22"/>
        </w:rPr>
      </w:pPr>
      <w:r w:rsidRPr="00B4362D">
        <w:rPr>
          <w:rFonts w:ascii="Arial" w:hAnsi="Arial" w:cs="Arial"/>
          <w:sz w:val="22"/>
          <w:szCs w:val="22"/>
        </w:rPr>
        <w:t>Auf dem Weg zu einem landesweiten Kompensationsverzeichnis in Niedersachsen</w:t>
      </w:r>
    </w:p>
    <w:p w:rsidR="00B4362D" w:rsidRPr="00B4362D" w:rsidRDefault="00B4362D" w:rsidP="00B4362D">
      <w:pPr>
        <w:pStyle w:val="Listenabsatz"/>
        <w:numPr>
          <w:ilvl w:val="0"/>
          <w:numId w:val="36"/>
        </w:numPr>
        <w:rPr>
          <w:rFonts w:ascii="Arial" w:hAnsi="Arial" w:cs="Arial"/>
          <w:sz w:val="22"/>
          <w:szCs w:val="22"/>
        </w:rPr>
      </w:pPr>
      <w:r w:rsidRPr="00B4362D">
        <w:rPr>
          <w:rFonts w:ascii="Arial" w:hAnsi="Arial" w:cs="Arial"/>
          <w:sz w:val="22"/>
          <w:szCs w:val="22"/>
        </w:rPr>
        <w:t>Kontrolle und Durchführung von Kompensationsmaßnahmen sowie ihre Eintragung in das Kompensationsverzeichnis</w:t>
      </w:r>
    </w:p>
    <w:p w:rsidR="00B4362D" w:rsidRPr="00B4362D" w:rsidRDefault="00B4362D" w:rsidP="00B4362D">
      <w:pPr>
        <w:pStyle w:val="Listenabsatz"/>
        <w:numPr>
          <w:ilvl w:val="0"/>
          <w:numId w:val="36"/>
        </w:numPr>
        <w:rPr>
          <w:rFonts w:ascii="Arial" w:hAnsi="Arial" w:cs="Arial"/>
          <w:sz w:val="22"/>
          <w:szCs w:val="22"/>
        </w:rPr>
      </w:pPr>
      <w:r w:rsidRPr="00B4362D">
        <w:rPr>
          <w:rFonts w:ascii="Arial" w:hAnsi="Arial" w:cs="Arial"/>
          <w:sz w:val="22"/>
          <w:szCs w:val="22"/>
        </w:rPr>
        <w:t xml:space="preserve">Landschaftsrahmenplanung in Niedersachsen: Fachgrundlage der Regionalplanung – </w:t>
      </w:r>
      <w:r w:rsidRPr="00B4362D">
        <w:rPr>
          <w:rFonts w:ascii="Arial" w:hAnsi="Arial" w:cs="Arial"/>
          <w:sz w:val="22"/>
          <w:szCs w:val="22"/>
        </w:rPr>
        <w:br/>
        <w:t>15 Thesen zum Zusammenhang von Regionalplanung und Landschaftsrahmenplanung</w:t>
      </w:r>
      <w:r w:rsidR="008B6960">
        <w:rPr>
          <w:rFonts w:ascii="Arial" w:hAnsi="Arial" w:cs="Arial"/>
          <w:sz w:val="22"/>
          <w:szCs w:val="22"/>
        </w:rPr>
        <w:t>.</w:t>
      </w:r>
    </w:p>
    <w:bookmarkEnd w:id="1"/>
    <w:bookmarkEnd w:id="2"/>
    <w:p w:rsidR="00216BB2" w:rsidRDefault="00216BB2" w:rsidP="00216BB2">
      <w:pPr>
        <w:rPr>
          <w:rFonts w:ascii="Arial" w:hAnsi="Arial" w:cs="Arial"/>
          <w:sz w:val="22"/>
          <w:szCs w:val="22"/>
        </w:rPr>
      </w:pPr>
    </w:p>
    <w:p w:rsidR="00C5038C" w:rsidRPr="00216BB2" w:rsidRDefault="00C5038C" w:rsidP="00216BB2">
      <w:pPr>
        <w:rPr>
          <w:rFonts w:ascii="Arial" w:hAnsi="Arial" w:cs="Arial"/>
          <w:sz w:val="22"/>
          <w:szCs w:val="22"/>
        </w:rPr>
      </w:pPr>
    </w:p>
    <w:p w:rsidR="00DD7829" w:rsidRPr="00B56842" w:rsidRDefault="002602AF" w:rsidP="00A35A0B">
      <w:pPr>
        <w:rPr>
          <w:rFonts w:ascii="Arial" w:hAnsi="Arial" w:cs="Arial"/>
          <w:sz w:val="22"/>
          <w:szCs w:val="22"/>
        </w:rPr>
      </w:pPr>
      <w:r w:rsidRPr="004A4AC0">
        <w:rPr>
          <w:rFonts w:ascii="Arial" w:hAnsi="Arial" w:cs="Arial"/>
          <w:sz w:val="22"/>
          <w:szCs w:val="22"/>
        </w:rPr>
        <w:t>D</w:t>
      </w:r>
      <w:r w:rsidR="00453AD5" w:rsidRPr="004A4AC0">
        <w:rPr>
          <w:rFonts w:ascii="Arial" w:hAnsi="Arial" w:cs="Arial"/>
          <w:sz w:val="22"/>
          <w:szCs w:val="22"/>
        </w:rPr>
        <w:t xml:space="preserve">as Heft umfasst </w:t>
      </w:r>
      <w:r w:rsidR="00C778D1">
        <w:rPr>
          <w:rFonts w:ascii="Arial" w:hAnsi="Arial" w:cs="Arial"/>
          <w:sz w:val="22"/>
          <w:szCs w:val="22"/>
        </w:rPr>
        <w:t>6</w:t>
      </w:r>
      <w:r w:rsidR="00B4362D">
        <w:rPr>
          <w:rFonts w:ascii="Arial" w:hAnsi="Arial" w:cs="Arial"/>
          <w:sz w:val="22"/>
          <w:szCs w:val="22"/>
        </w:rPr>
        <w:t>4</w:t>
      </w:r>
      <w:r w:rsidR="00453AD5">
        <w:rPr>
          <w:rFonts w:ascii="Arial" w:hAnsi="Arial" w:cs="Arial"/>
          <w:sz w:val="22"/>
          <w:szCs w:val="22"/>
        </w:rPr>
        <w:t xml:space="preserve"> Seiten und ist </w:t>
      </w:r>
      <w:r w:rsidR="00453AD5" w:rsidRPr="00B56842">
        <w:rPr>
          <w:rFonts w:ascii="Arial" w:hAnsi="Arial" w:cs="Arial"/>
          <w:sz w:val="22"/>
          <w:szCs w:val="22"/>
        </w:rPr>
        <w:t>erhältlich gegen Rechnung (4,- € zzgl. Versandkosten</w:t>
      </w:r>
      <w:r w:rsidR="00184402" w:rsidRPr="00B56842">
        <w:rPr>
          <w:rFonts w:ascii="Arial" w:hAnsi="Arial" w:cs="Arial"/>
          <w:sz w:val="22"/>
          <w:szCs w:val="22"/>
        </w:rPr>
        <w:t>-</w:t>
      </w:r>
      <w:r w:rsidR="00184402" w:rsidRPr="00B56842">
        <w:rPr>
          <w:rFonts w:ascii="Arial" w:hAnsi="Arial" w:cs="Arial"/>
          <w:sz w:val="22"/>
          <w:szCs w:val="22"/>
        </w:rPr>
        <w:br/>
      </w:r>
      <w:r w:rsidR="00453AD5" w:rsidRPr="00B56842">
        <w:rPr>
          <w:rFonts w:ascii="Arial" w:hAnsi="Arial" w:cs="Arial"/>
          <w:sz w:val="22"/>
          <w:szCs w:val="22"/>
        </w:rPr>
        <w:t>pauschale) beim NLWKN:</w:t>
      </w:r>
    </w:p>
    <w:p w:rsidR="00362392" w:rsidRPr="00B56842" w:rsidRDefault="00362392" w:rsidP="00A35A0B">
      <w:pPr>
        <w:rPr>
          <w:rFonts w:ascii="Arial" w:hAnsi="Arial" w:cs="Arial"/>
          <w:sz w:val="22"/>
          <w:szCs w:val="22"/>
        </w:rPr>
      </w:pPr>
    </w:p>
    <w:p w:rsidR="00DD7829" w:rsidRPr="00B4362D" w:rsidRDefault="00453AD5" w:rsidP="00A35A0B">
      <w:pPr>
        <w:rPr>
          <w:rFonts w:ascii="Arial" w:hAnsi="Arial" w:cs="Arial"/>
          <w:sz w:val="22"/>
          <w:szCs w:val="22"/>
        </w:rPr>
      </w:pPr>
      <w:r w:rsidRPr="00B56842">
        <w:rPr>
          <w:rFonts w:ascii="Arial" w:hAnsi="Arial" w:cs="Arial"/>
          <w:sz w:val="22"/>
          <w:szCs w:val="22"/>
        </w:rPr>
        <w:t>Niedersächsischer Landesbetrieb für Wasserwirtschaft, K</w:t>
      </w:r>
      <w:r w:rsidRPr="00B4362D">
        <w:rPr>
          <w:rFonts w:ascii="Arial" w:hAnsi="Arial" w:cs="Arial"/>
          <w:sz w:val="22"/>
          <w:szCs w:val="22"/>
        </w:rPr>
        <w:t xml:space="preserve">üsten- und Naturschutz (NLWKN) </w:t>
      </w:r>
    </w:p>
    <w:p w:rsidR="00DD7829" w:rsidRPr="00B4362D" w:rsidRDefault="00453AD5" w:rsidP="00A35A0B">
      <w:pPr>
        <w:rPr>
          <w:rFonts w:ascii="Arial" w:hAnsi="Arial" w:cs="Arial"/>
          <w:sz w:val="22"/>
          <w:szCs w:val="22"/>
        </w:rPr>
      </w:pPr>
      <w:r w:rsidRPr="00B4362D">
        <w:rPr>
          <w:rFonts w:ascii="Arial" w:hAnsi="Arial" w:cs="Arial"/>
          <w:sz w:val="22"/>
          <w:szCs w:val="22"/>
        </w:rPr>
        <w:t xml:space="preserve">– </w:t>
      </w:r>
      <w:r w:rsidR="002602AF" w:rsidRPr="00B4362D">
        <w:rPr>
          <w:rFonts w:ascii="Arial" w:hAnsi="Arial" w:cs="Arial"/>
          <w:sz w:val="22"/>
          <w:szCs w:val="22"/>
        </w:rPr>
        <w:t>Veröffentlichungen</w:t>
      </w:r>
      <w:r w:rsidRPr="00B4362D">
        <w:rPr>
          <w:rFonts w:ascii="Arial" w:hAnsi="Arial" w:cs="Arial"/>
          <w:sz w:val="22"/>
          <w:szCs w:val="22"/>
        </w:rPr>
        <w:t xml:space="preserve"> –</w:t>
      </w:r>
    </w:p>
    <w:p w:rsidR="00DD7829" w:rsidRPr="008B6960" w:rsidRDefault="00453AD5" w:rsidP="00A35A0B">
      <w:pPr>
        <w:rPr>
          <w:rFonts w:ascii="Arial" w:hAnsi="Arial" w:cs="Arial"/>
          <w:sz w:val="22"/>
          <w:szCs w:val="22"/>
        </w:rPr>
      </w:pPr>
      <w:r w:rsidRPr="00B4362D">
        <w:rPr>
          <w:rFonts w:ascii="Arial" w:hAnsi="Arial" w:cs="Arial"/>
          <w:sz w:val="22"/>
          <w:szCs w:val="22"/>
        </w:rPr>
        <w:t>Postfach 91 07 13, 30427 Hannover</w:t>
      </w:r>
    </w:p>
    <w:p w:rsidR="00DD7829" w:rsidRPr="00CE41B6" w:rsidRDefault="001537CC" w:rsidP="00A35A0B">
      <w:pPr>
        <w:rPr>
          <w:rFonts w:ascii="Arial" w:hAnsi="Arial" w:cs="Arial"/>
          <w:sz w:val="22"/>
          <w:szCs w:val="22"/>
        </w:rPr>
      </w:pPr>
      <w:hyperlink r:id="rId8" w:history="1">
        <w:r w:rsidR="002602AF" w:rsidRPr="008B6960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veroeffentlichungen@nlwkn.niedersachsen.de</w:t>
        </w:r>
      </w:hyperlink>
    </w:p>
    <w:p w:rsidR="00DD7829" w:rsidRPr="00CE41B6" w:rsidRDefault="00453AD5" w:rsidP="00A35A0B">
      <w:pPr>
        <w:rPr>
          <w:rFonts w:ascii="Arial" w:hAnsi="Arial" w:cs="Arial"/>
          <w:sz w:val="22"/>
          <w:szCs w:val="22"/>
        </w:rPr>
      </w:pPr>
      <w:r w:rsidRPr="00CE41B6">
        <w:rPr>
          <w:rFonts w:ascii="Arial" w:hAnsi="Arial" w:cs="Arial"/>
          <w:sz w:val="22"/>
          <w:szCs w:val="22"/>
        </w:rPr>
        <w:t>Tel.: 0511 / 3034-3305</w:t>
      </w:r>
    </w:p>
    <w:p w:rsidR="00DD7829" w:rsidRPr="00CE41B6" w:rsidRDefault="001537CC" w:rsidP="00A35A0B">
      <w:pPr>
        <w:rPr>
          <w:rFonts w:ascii="Arial" w:hAnsi="Arial" w:cs="Arial"/>
          <w:sz w:val="22"/>
          <w:szCs w:val="22"/>
        </w:rPr>
      </w:pPr>
      <w:hyperlink r:id="rId9" w:history="1">
        <w:r w:rsidR="00CE41B6" w:rsidRPr="00CE41B6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www.nlwkn.niedersachsen.de/veroeffentlichungen-naturschutz</w:t>
        </w:r>
      </w:hyperlink>
    </w:p>
    <w:p w:rsidR="00DD7829" w:rsidRPr="00CE41B6" w:rsidRDefault="001537CC" w:rsidP="00A35A0B">
      <w:pPr>
        <w:rPr>
          <w:rFonts w:ascii="Arial" w:hAnsi="Arial" w:cs="Arial"/>
          <w:sz w:val="22"/>
          <w:szCs w:val="22"/>
        </w:rPr>
      </w:pPr>
      <w:hyperlink r:id="rId10" w:history="1">
        <w:r w:rsidR="008B6960" w:rsidRPr="00CE41B6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https://webshop.nlwkn.niedersachsen.de</w:t>
        </w:r>
      </w:hyperlink>
    </w:p>
    <w:p w:rsidR="00BD39B0" w:rsidRPr="00CE41B6" w:rsidRDefault="00BD39B0" w:rsidP="00A35A0B">
      <w:pPr>
        <w:rPr>
          <w:rFonts w:ascii="Arial" w:hAnsi="Arial" w:cs="Arial"/>
          <w:sz w:val="22"/>
          <w:szCs w:val="22"/>
        </w:rPr>
      </w:pPr>
    </w:p>
    <w:p w:rsidR="00216BB2" w:rsidRPr="00B4362D" w:rsidRDefault="00BD39B0" w:rsidP="00BD39B0">
      <w:pPr>
        <w:pStyle w:val="Pa1"/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B4362D">
        <w:rPr>
          <w:rFonts w:ascii="Arial" w:hAnsi="Arial" w:cs="Arial"/>
          <w:sz w:val="22"/>
          <w:szCs w:val="22"/>
        </w:rPr>
        <w:t xml:space="preserve">Das Heft gibt es auch als PDF: </w:t>
      </w:r>
      <w:hyperlink r:id="rId11" w:history="1">
        <w:r w:rsidR="00B4362D" w:rsidRPr="00B4362D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www.nlwkn.niedersachsen.de/download/201576</w:t>
        </w:r>
      </w:hyperlink>
    </w:p>
    <w:p w:rsidR="006E7482" w:rsidRPr="00B4362D" w:rsidRDefault="006E7482" w:rsidP="00A35A0B">
      <w:pPr>
        <w:rPr>
          <w:rFonts w:ascii="Arial" w:hAnsi="Arial" w:cs="Arial"/>
          <w:sz w:val="22"/>
          <w:szCs w:val="22"/>
        </w:rPr>
      </w:pPr>
    </w:p>
    <w:p w:rsidR="00DD7829" w:rsidRPr="00B4362D" w:rsidRDefault="00453AD5" w:rsidP="00A35A0B">
      <w:pPr>
        <w:pBdr>
          <w:top w:val="single" w:sz="4" w:space="1" w:color="auto"/>
        </w:pBdr>
        <w:tabs>
          <w:tab w:val="left" w:pos="6379"/>
        </w:tabs>
        <w:rPr>
          <w:rFonts w:ascii="Arial" w:hAnsi="Arial" w:cs="Arial"/>
          <w:b/>
          <w:sz w:val="22"/>
          <w:szCs w:val="22"/>
        </w:rPr>
      </w:pPr>
      <w:r w:rsidRPr="00B4362D">
        <w:rPr>
          <w:rFonts w:ascii="Arial" w:hAnsi="Arial" w:cs="Arial"/>
          <w:b/>
          <w:sz w:val="22"/>
          <w:szCs w:val="22"/>
        </w:rPr>
        <w:t xml:space="preserve">Dieser Besprechungsvorschlag steht Ihnen auch zum Download zur Verfügung unter </w:t>
      </w:r>
    </w:p>
    <w:p w:rsidR="00DD7829" w:rsidRPr="00B4362D" w:rsidRDefault="001537CC" w:rsidP="00A35A0B">
      <w:pPr>
        <w:pBdr>
          <w:top w:val="single" w:sz="4" w:space="1" w:color="auto"/>
        </w:pBdr>
        <w:tabs>
          <w:tab w:val="left" w:pos="6379"/>
        </w:tabs>
        <w:rPr>
          <w:rFonts w:ascii="Arial" w:hAnsi="Arial" w:cs="Arial"/>
          <w:b/>
          <w:sz w:val="22"/>
          <w:szCs w:val="22"/>
        </w:rPr>
      </w:pPr>
      <w:hyperlink r:id="rId12" w:history="1">
        <w:r w:rsidR="00B4362D" w:rsidRPr="00B4362D">
          <w:rPr>
            <w:rStyle w:val="Hyperlink"/>
            <w:rFonts w:ascii="Arial" w:hAnsi="Arial" w:cs="Arial"/>
            <w:b/>
            <w:color w:val="auto"/>
            <w:sz w:val="22"/>
            <w:szCs w:val="22"/>
            <w:u w:val="none"/>
          </w:rPr>
          <w:t>www.nlwkn.niedersachsen.de/download/201577</w:t>
        </w:r>
      </w:hyperlink>
    </w:p>
    <w:p w:rsidR="00DD7829" w:rsidRPr="00B4362D" w:rsidRDefault="00453AD5" w:rsidP="00A35A0B">
      <w:pPr>
        <w:pBdr>
          <w:top w:val="single" w:sz="4" w:space="1" w:color="auto"/>
        </w:pBdr>
        <w:tabs>
          <w:tab w:val="left" w:pos="6379"/>
        </w:tabs>
        <w:rPr>
          <w:rFonts w:ascii="Arial" w:hAnsi="Arial" w:cs="Arial"/>
          <w:b/>
          <w:sz w:val="22"/>
          <w:szCs w:val="22"/>
        </w:rPr>
      </w:pPr>
      <w:r w:rsidRPr="00B4362D">
        <w:rPr>
          <w:rFonts w:ascii="Arial" w:hAnsi="Arial" w:cs="Arial"/>
          <w:b/>
          <w:sz w:val="22"/>
          <w:szCs w:val="22"/>
        </w:rPr>
        <w:t xml:space="preserve">Die Titelseite als JPG finden sie unter: </w:t>
      </w:r>
      <w:hyperlink r:id="rId13" w:history="1">
        <w:r w:rsidR="00B4362D" w:rsidRPr="00B4362D">
          <w:rPr>
            <w:rStyle w:val="Hyperlink"/>
            <w:rFonts w:ascii="Arial" w:hAnsi="Arial" w:cs="Arial"/>
            <w:b/>
            <w:color w:val="auto"/>
            <w:sz w:val="22"/>
            <w:szCs w:val="22"/>
            <w:u w:val="none"/>
          </w:rPr>
          <w:t>www.nlwkn.niedersachsen.de/download/201578</w:t>
        </w:r>
      </w:hyperlink>
    </w:p>
    <w:sectPr w:rsidR="00DD7829" w:rsidRPr="00B4362D" w:rsidSect="00B4362D">
      <w:pgSz w:w="11906" w:h="16838"/>
      <w:pgMar w:top="993" w:right="1133" w:bottom="709" w:left="1276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4F8F" w:rsidRDefault="00364F8F">
      <w:r>
        <w:separator/>
      </w:r>
    </w:p>
  </w:endnote>
  <w:endnote w:type="continuationSeparator" w:id="0">
    <w:p w:rsidR="00364F8F" w:rsidRDefault="00364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Frutiger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4F8F" w:rsidRDefault="00364F8F">
      <w:r>
        <w:separator/>
      </w:r>
    </w:p>
  </w:footnote>
  <w:footnote w:type="continuationSeparator" w:id="0">
    <w:p w:rsidR="00364F8F" w:rsidRDefault="00364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25E25"/>
    <w:multiLevelType w:val="hybridMultilevel"/>
    <w:tmpl w:val="E8767C3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3B1409"/>
    <w:multiLevelType w:val="hybridMultilevel"/>
    <w:tmpl w:val="8EB88F7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77597F"/>
    <w:multiLevelType w:val="hybridMultilevel"/>
    <w:tmpl w:val="5FDE3DA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26736"/>
    <w:multiLevelType w:val="hybridMultilevel"/>
    <w:tmpl w:val="7CE60986"/>
    <w:lvl w:ilvl="0" w:tplc="0407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8D722F5"/>
    <w:multiLevelType w:val="hybridMultilevel"/>
    <w:tmpl w:val="830E3E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025D44"/>
    <w:multiLevelType w:val="multilevel"/>
    <w:tmpl w:val="9FAE6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7A7FB6"/>
    <w:multiLevelType w:val="hybridMultilevel"/>
    <w:tmpl w:val="CC08EF12"/>
    <w:lvl w:ilvl="0" w:tplc="30F8F01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7A5EFB"/>
    <w:multiLevelType w:val="hybridMultilevel"/>
    <w:tmpl w:val="04848F4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F83070"/>
    <w:multiLevelType w:val="hybridMultilevel"/>
    <w:tmpl w:val="DB52637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B9559B"/>
    <w:multiLevelType w:val="hybridMultilevel"/>
    <w:tmpl w:val="BAD63F1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96674A"/>
    <w:multiLevelType w:val="hybridMultilevel"/>
    <w:tmpl w:val="AF608D06"/>
    <w:lvl w:ilvl="0" w:tplc="75363654">
      <w:start w:val="1"/>
      <w:numFmt w:val="bullet"/>
      <w:pStyle w:val="Info-VZH-Aufzhlung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7694B"/>
    <w:multiLevelType w:val="hybridMultilevel"/>
    <w:tmpl w:val="78700284"/>
    <w:lvl w:ilvl="0" w:tplc="E91444AA">
      <w:start w:val="1"/>
      <w:numFmt w:val="bullet"/>
      <w:pStyle w:val="INNVerzeichnisAufzhlung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7C26F6"/>
    <w:multiLevelType w:val="hybridMultilevel"/>
    <w:tmpl w:val="B59A6278"/>
    <w:lvl w:ilvl="0" w:tplc="B302FDEA">
      <w:start w:val="1"/>
      <w:numFmt w:val="bullet"/>
      <w:pStyle w:val="StrategieAufzhlung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8C1288"/>
    <w:multiLevelType w:val="hybridMultilevel"/>
    <w:tmpl w:val="F55EAF0E"/>
    <w:lvl w:ilvl="0" w:tplc="E5662F9C">
      <w:start w:val="1"/>
      <w:numFmt w:val="bullet"/>
      <w:pStyle w:val="VZHTabelle6Inhalteingerck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E0B15BB"/>
    <w:multiLevelType w:val="hybridMultilevel"/>
    <w:tmpl w:val="EACA094E"/>
    <w:lvl w:ilvl="0" w:tplc="706C6F5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3AD2635"/>
    <w:multiLevelType w:val="hybridMultilevel"/>
    <w:tmpl w:val="E934FB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563A98"/>
    <w:multiLevelType w:val="multilevel"/>
    <w:tmpl w:val="158CF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725A80"/>
    <w:multiLevelType w:val="hybridMultilevel"/>
    <w:tmpl w:val="525E727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87C7316"/>
    <w:multiLevelType w:val="hybridMultilevel"/>
    <w:tmpl w:val="BD1C6F62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9632C5F"/>
    <w:multiLevelType w:val="hybridMultilevel"/>
    <w:tmpl w:val="DBE2182A"/>
    <w:lvl w:ilvl="0" w:tplc="E686479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332849E">
      <w:start w:val="1"/>
      <w:numFmt w:val="bullet"/>
      <w:lvlText w:val=""/>
      <w:lvlJc w:val="left"/>
      <w:pPr>
        <w:tabs>
          <w:tab w:val="num" w:pos="720"/>
        </w:tabs>
        <w:ind w:left="1003" w:hanging="283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BEA0791"/>
    <w:multiLevelType w:val="hybridMultilevel"/>
    <w:tmpl w:val="CB78554E"/>
    <w:lvl w:ilvl="0" w:tplc="E6864792">
      <w:start w:val="1"/>
      <w:numFmt w:val="bullet"/>
      <w:pStyle w:val="VZHAufzhlung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2"/>
  </w:num>
  <w:num w:numId="3">
    <w:abstractNumId w:val="12"/>
  </w:num>
  <w:num w:numId="4">
    <w:abstractNumId w:val="13"/>
  </w:num>
  <w:num w:numId="5">
    <w:abstractNumId w:val="20"/>
  </w:num>
  <w:num w:numId="6">
    <w:abstractNumId w:val="20"/>
  </w:num>
  <w:num w:numId="7">
    <w:abstractNumId w:val="20"/>
  </w:num>
  <w:num w:numId="8">
    <w:abstractNumId w:val="20"/>
  </w:num>
  <w:num w:numId="9">
    <w:abstractNumId w:val="20"/>
  </w:num>
  <w:num w:numId="10">
    <w:abstractNumId w:val="20"/>
  </w:num>
  <w:num w:numId="11">
    <w:abstractNumId w:val="20"/>
  </w:num>
  <w:num w:numId="12">
    <w:abstractNumId w:val="20"/>
  </w:num>
  <w:num w:numId="13">
    <w:abstractNumId w:val="20"/>
  </w:num>
  <w:num w:numId="14">
    <w:abstractNumId w:val="6"/>
  </w:num>
  <w:num w:numId="15">
    <w:abstractNumId w:val="14"/>
  </w:num>
  <w:num w:numId="16">
    <w:abstractNumId w:val="14"/>
  </w:num>
  <w:num w:numId="17">
    <w:abstractNumId w:val="14"/>
  </w:num>
  <w:num w:numId="18">
    <w:abstractNumId w:val="10"/>
  </w:num>
  <w:num w:numId="19">
    <w:abstractNumId w:val="20"/>
  </w:num>
  <w:num w:numId="20">
    <w:abstractNumId w:val="20"/>
  </w:num>
  <w:num w:numId="21">
    <w:abstractNumId w:val="11"/>
  </w:num>
  <w:num w:numId="22">
    <w:abstractNumId w:val="17"/>
  </w:num>
  <w:num w:numId="23">
    <w:abstractNumId w:val="2"/>
  </w:num>
  <w:num w:numId="24">
    <w:abstractNumId w:val="7"/>
  </w:num>
  <w:num w:numId="25">
    <w:abstractNumId w:val="0"/>
  </w:num>
  <w:num w:numId="26">
    <w:abstractNumId w:val="19"/>
  </w:num>
  <w:num w:numId="27">
    <w:abstractNumId w:val="3"/>
  </w:num>
  <w:num w:numId="28">
    <w:abstractNumId w:val="5"/>
  </w:num>
  <w:num w:numId="29">
    <w:abstractNumId w:val="4"/>
  </w:num>
  <w:num w:numId="30">
    <w:abstractNumId w:val="8"/>
  </w:num>
  <w:num w:numId="31">
    <w:abstractNumId w:val="9"/>
  </w:num>
  <w:num w:numId="32">
    <w:abstractNumId w:val="16"/>
  </w:num>
  <w:num w:numId="33">
    <w:abstractNumId w:val="18"/>
  </w:num>
  <w:num w:numId="34">
    <w:abstractNumId w:val="18"/>
  </w:num>
  <w:num w:numId="35">
    <w:abstractNumId w:val="1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829"/>
    <w:rsid w:val="00011938"/>
    <w:rsid w:val="00054C64"/>
    <w:rsid w:val="000D48EE"/>
    <w:rsid w:val="000E267B"/>
    <w:rsid w:val="00135E99"/>
    <w:rsid w:val="001537CC"/>
    <w:rsid w:val="00184402"/>
    <w:rsid w:val="001C10D0"/>
    <w:rsid w:val="0021642C"/>
    <w:rsid w:val="00216BB2"/>
    <w:rsid w:val="002602AF"/>
    <w:rsid w:val="0029562E"/>
    <w:rsid w:val="002C70FF"/>
    <w:rsid w:val="00355AFD"/>
    <w:rsid w:val="00362392"/>
    <w:rsid w:val="00364F8F"/>
    <w:rsid w:val="003B7E26"/>
    <w:rsid w:val="00453AD5"/>
    <w:rsid w:val="004627B2"/>
    <w:rsid w:val="004752B8"/>
    <w:rsid w:val="004A4AC0"/>
    <w:rsid w:val="004C6BAE"/>
    <w:rsid w:val="00505378"/>
    <w:rsid w:val="005272D3"/>
    <w:rsid w:val="0055143F"/>
    <w:rsid w:val="005D0203"/>
    <w:rsid w:val="005E0B1A"/>
    <w:rsid w:val="00622B13"/>
    <w:rsid w:val="00635A14"/>
    <w:rsid w:val="00655CDF"/>
    <w:rsid w:val="006705C3"/>
    <w:rsid w:val="006A281C"/>
    <w:rsid w:val="006C6782"/>
    <w:rsid w:val="006E7482"/>
    <w:rsid w:val="007146CC"/>
    <w:rsid w:val="007200DC"/>
    <w:rsid w:val="0074055A"/>
    <w:rsid w:val="00755812"/>
    <w:rsid w:val="00755D0A"/>
    <w:rsid w:val="00757E28"/>
    <w:rsid w:val="007C1692"/>
    <w:rsid w:val="007D6B47"/>
    <w:rsid w:val="00822E86"/>
    <w:rsid w:val="00827839"/>
    <w:rsid w:val="008A60D0"/>
    <w:rsid w:val="008B6960"/>
    <w:rsid w:val="008D0789"/>
    <w:rsid w:val="008E15BD"/>
    <w:rsid w:val="00972D03"/>
    <w:rsid w:val="009C70F5"/>
    <w:rsid w:val="00A02376"/>
    <w:rsid w:val="00A22FD6"/>
    <w:rsid w:val="00A25CF4"/>
    <w:rsid w:val="00A35A0B"/>
    <w:rsid w:val="00AA63F5"/>
    <w:rsid w:val="00B164E1"/>
    <w:rsid w:val="00B4362D"/>
    <w:rsid w:val="00B56842"/>
    <w:rsid w:val="00BA027C"/>
    <w:rsid w:val="00BD39B0"/>
    <w:rsid w:val="00BF7088"/>
    <w:rsid w:val="00C379FC"/>
    <w:rsid w:val="00C5038C"/>
    <w:rsid w:val="00C778D1"/>
    <w:rsid w:val="00C8782D"/>
    <w:rsid w:val="00C916BC"/>
    <w:rsid w:val="00CA1E9A"/>
    <w:rsid w:val="00CE41B6"/>
    <w:rsid w:val="00D810B7"/>
    <w:rsid w:val="00DD7829"/>
    <w:rsid w:val="00DE6C1C"/>
    <w:rsid w:val="00F95A12"/>
    <w:rsid w:val="00FB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20A21BD-F738-406B-83FB-DCFFFC6DB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pPr>
      <w:widowControl w:val="0"/>
      <w:autoSpaceDE w:val="0"/>
      <w:autoSpaceDN w:val="0"/>
      <w:adjustRightInd w:val="0"/>
    </w:pPr>
    <w:rPr>
      <w:rFonts w:ascii="Courier" w:eastAsia="Times New Roman" w:hAnsi="Courier" w:cs="Courier"/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berschrift2">
    <w:name w:val="heading 2"/>
    <w:basedOn w:val="Standard"/>
    <w:link w:val="berschrift2Zchn"/>
    <w:uiPriority w:val="9"/>
    <w:qFormat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VZHberschrift2">
    <w:name w:val="VZH Überschrift 2"/>
    <w:basedOn w:val="Standard"/>
    <w:autoRedefine/>
    <w:pPr>
      <w:widowControl/>
      <w:spacing w:before="120" w:after="120"/>
    </w:pPr>
    <w:rPr>
      <w:rFonts w:cs="Times New Roman"/>
      <w:b/>
      <w:bCs/>
      <w:szCs w:val="22"/>
    </w:rPr>
  </w:style>
  <w:style w:type="paragraph" w:customStyle="1" w:styleId="VZHberschrift1">
    <w:name w:val="VZH Überschrift 1"/>
    <w:basedOn w:val="Standard"/>
    <w:autoRedefine/>
    <w:pPr>
      <w:spacing w:after="120"/>
      <w:outlineLvl w:val="0"/>
    </w:pPr>
    <w:rPr>
      <w:rFonts w:ascii="Arial" w:hAnsi="Arial"/>
      <w:b/>
    </w:rPr>
  </w:style>
  <w:style w:type="paragraph" w:customStyle="1" w:styleId="StrategieAufzhlung">
    <w:name w:val="Strategie Aufzählung"/>
    <w:basedOn w:val="Standard"/>
    <w:autoRedefine/>
    <w:pPr>
      <w:numPr>
        <w:numId w:val="3"/>
      </w:numPr>
    </w:pPr>
    <w:rPr>
      <w:rFonts w:ascii="Arial" w:hAnsi="Arial"/>
      <w:sz w:val="22"/>
      <w:szCs w:val="22"/>
    </w:rPr>
  </w:style>
  <w:style w:type="paragraph" w:customStyle="1" w:styleId="VZHAbsatzFlietext">
    <w:name w:val="VZH Absatz Fließtext"/>
    <w:basedOn w:val="Standard"/>
    <w:autoRedefine/>
    <w:pPr>
      <w:widowControl/>
      <w:spacing w:before="60"/>
    </w:pPr>
    <w:rPr>
      <w:rFonts w:cs="Times New Roman"/>
      <w:bCs/>
      <w:szCs w:val="22"/>
    </w:rPr>
  </w:style>
  <w:style w:type="paragraph" w:customStyle="1" w:styleId="VZHTabelle6Inhalteingerckt">
    <w:name w:val="VZH Tabelle 6 Inhalt eingerückt"/>
    <w:basedOn w:val="Standard"/>
    <w:autoRedefine/>
    <w:pPr>
      <w:numPr>
        <w:numId w:val="4"/>
      </w:numPr>
      <w:spacing w:before="40" w:after="40"/>
    </w:pPr>
    <w:rPr>
      <w:rFonts w:ascii="Arial" w:hAnsi="Arial" w:cs="Arial"/>
      <w:bCs/>
      <w:color w:val="000000"/>
      <w:spacing w:val="-4"/>
      <w:sz w:val="16"/>
      <w:szCs w:val="16"/>
    </w:rPr>
  </w:style>
  <w:style w:type="paragraph" w:customStyle="1" w:styleId="VZHTabelleTextunterKopfzeile">
    <w:name w:val="VZH Tabelle Text unter Kopfzeile"/>
    <w:basedOn w:val="VZHAbsatzFlietext"/>
    <w:autoRedefine/>
    <w:pPr>
      <w:spacing w:after="120"/>
    </w:pPr>
    <w:rPr>
      <w:color w:val="000000"/>
      <w:sz w:val="20"/>
    </w:rPr>
  </w:style>
  <w:style w:type="paragraph" w:customStyle="1" w:styleId="FormatvorlageVZHAbsatzFlietext11pt">
    <w:name w:val="Formatvorlage VZH Absatz Fließtext + 11 pt"/>
    <w:basedOn w:val="VZHAbsatzFlietext"/>
    <w:autoRedefine/>
    <w:pPr>
      <w:tabs>
        <w:tab w:val="left" w:pos="180"/>
      </w:tabs>
      <w:spacing w:after="60"/>
      <w:ind w:left="180"/>
    </w:pPr>
    <w:rPr>
      <w:color w:val="000000"/>
    </w:rPr>
  </w:style>
  <w:style w:type="paragraph" w:customStyle="1" w:styleId="VZHAufzhlung">
    <w:name w:val="VZH Aufzählung"/>
    <w:basedOn w:val="Standard"/>
    <w:autoRedefine/>
    <w:pPr>
      <w:numPr>
        <w:numId w:val="20"/>
      </w:numPr>
      <w:tabs>
        <w:tab w:val="left" w:pos="357"/>
      </w:tabs>
    </w:pPr>
    <w:rPr>
      <w:rFonts w:ascii="Arial" w:hAnsi="Arial"/>
      <w:sz w:val="22"/>
      <w:szCs w:val="22"/>
    </w:rPr>
  </w:style>
  <w:style w:type="paragraph" w:customStyle="1" w:styleId="FormatvorlageVZHAbsatzFlietextVor0ptNach0pt">
    <w:name w:val="Formatvorlage VZH Absatz Fließtext + Vor:  0 pt Nach:  0 pt"/>
    <w:basedOn w:val="VZHAbsatzFlietext"/>
    <w:autoRedefine/>
    <w:pPr>
      <w:spacing w:before="0"/>
    </w:pPr>
  </w:style>
  <w:style w:type="paragraph" w:customStyle="1" w:styleId="FormatvorlageVZHAufzhlungFett">
    <w:name w:val="Formatvorlage VZH Aufzählung + Fett"/>
    <w:basedOn w:val="VZHAufzhlung"/>
    <w:autoRedefine/>
    <w:pPr>
      <w:numPr>
        <w:numId w:val="0"/>
      </w:numPr>
      <w:suppressAutoHyphens/>
    </w:pPr>
    <w:rPr>
      <w:b/>
      <w:bCs/>
    </w:rPr>
  </w:style>
  <w:style w:type="paragraph" w:customStyle="1" w:styleId="FormatvorlageVZHAufzhlungKursiv">
    <w:name w:val="Formatvorlage VZH Aufzählung + Kursiv"/>
    <w:basedOn w:val="VZHAufzhlung"/>
    <w:autoRedefine/>
    <w:pPr>
      <w:tabs>
        <w:tab w:val="clear" w:pos="357"/>
      </w:tabs>
    </w:pPr>
    <w:rPr>
      <w:i/>
      <w:iCs/>
    </w:rPr>
  </w:style>
  <w:style w:type="paragraph" w:customStyle="1" w:styleId="VZHTabelle-Kopfzeile">
    <w:name w:val="VZH Tabelle-Kopfzeile"/>
    <w:basedOn w:val="Standard"/>
    <w:autoRedefine/>
    <w:pPr>
      <w:outlineLvl w:val="0"/>
    </w:pPr>
    <w:rPr>
      <w:rFonts w:ascii="Arial" w:hAnsi="Arial" w:cs="Arial"/>
      <w:color w:val="000000"/>
      <w:sz w:val="20"/>
      <w:szCs w:val="20"/>
    </w:rPr>
  </w:style>
  <w:style w:type="paragraph" w:customStyle="1" w:styleId="VZHberschrift3">
    <w:name w:val="VZH Überschrift 3"/>
    <w:basedOn w:val="Standard"/>
    <w:autoRedefine/>
    <w:pPr>
      <w:spacing w:before="120"/>
      <w:outlineLvl w:val="0"/>
    </w:pPr>
    <w:rPr>
      <w:rFonts w:ascii="Arial" w:hAnsi="Arial"/>
      <w:b/>
      <w:sz w:val="22"/>
      <w:szCs w:val="22"/>
    </w:rPr>
  </w:style>
  <w:style w:type="paragraph" w:customStyle="1" w:styleId="Infodienst-VZH-berschrift">
    <w:name w:val="Infodienst-VZH-Überschrift"/>
    <w:basedOn w:val="Standard"/>
    <w:rPr>
      <w:rFonts w:ascii="Arial" w:hAnsi="Arial"/>
      <w:b/>
      <w:color w:val="000000"/>
    </w:rPr>
  </w:style>
  <w:style w:type="paragraph" w:customStyle="1" w:styleId="Infodient-VZH-berschrift2">
    <w:name w:val="Infodient-VZH-Überschrift2"/>
    <w:basedOn w:val="Standard"/>
    <w:pPr>
      <w:tabs>
        <w:tab w:val="left" w:pos="2268"/>
      </w:tabs>
    </w:pPr>
    <w:rPr>
      <w:rFonts w:ascii="Arial" w:hAnsi="Arial"/>
      <w:b/>
      <w:bCs/>
      <w:sz w:val="18"/>
      <w:szCs w:val="18"/>
    </w:rPr>
  </w:style>
  <w:style w:type="paragraph" w:customStyle="1" w:styleId="Infodient-VZH-Flietext">
    <w:name w:val="Infodient-VZH-Fließtext"/>
    <w:basedOn w:val="StrategieAufzhlung"/>
    <w:pPr>
      <w:numPr>
        <w:numId w:val="0"/>
      </w:numPr>
      <w:tabs>
        <w:tab w:val="left" w:pos="2268"/>
      </w:tabs>
    </w:pPr>
    <w:rPr>
      <w:sz w:val="18"/>
      <w:szCs w:val="18"/>
    </w:rPr>
  </w:style>
  <w:style w:type="paragraph" w:customStyle="1" w:styleId="Infodienst-VZH-berschrift1">
    <w:name w:val="Infodienst-VZH-Überschrift1"/>
    <w:basedOn w:val="Standard"/>
    <w:rPr>
      <w:rFonts w:ascii="Arial" w:hAnsi="Arial"/>
      <w:b/>
      <w:color w:val="000000"/>
    </w:rPr>
  </w:style>
  <w:style w:type="paragraph" w:customStyle="1" w:styleId="Infodienst-VZH-berschrift3">
    <w:name w:val="Infodienst-VZH-Überschrift3"/>
    <w:basedOn w:val="Standard"/>
    <w:rPr>
      <w:rFonts w:ascii="Arial" w:hAnsi="Arial"/>
      <w:sz w:val="18"/>
      <w:szCs w:val="18"/>
      <w:u w:val="single"/>
    </w:rPr>
  </w:style>
  <w:style w:type="paragraph" w:customStyle="1" w:styleId="Infodienst-VZH-Aufzhlung">
    <w:name w:val="Infodienst-VZH-Aufzählung"/>
    <w:basedOn w:val="StrategieAufzhlung"/>
    <w:pPr>
      <w:numPr>
        <w:numId w:val="0"/>
      </w:numPr>
    </w:pPr>
    <w:rPr>
      <w:sz w:val="18"/>
      <w:szCs w:val="18"/>
    </w:rPr>
  </w:style>
  <w:style w:type="paragraph" w:customStyle="1" w:styleId="FormatvorlageInfodienst-VZH-AufzhlungKursiv">
    <w:name w:val="Formatvorlage Infodienst-VZH-Aufzählung + Kursiv"/>
    <w:basedOn w:val="Infodienst-VZH-Aufzhlung"/>
    <w:autoRedefine/>
    <w:rPr>
      <w:iCs/>
    </w:rPr>
  </w:style>
  <w:style w:type="paragraph" w:customStyle="1" w:styleId="Info-VZH-berschrift2">
    <w:name w:val="Info-VZH-Überschrift2"/>
    <w:basedOn w:val="Infodient-VZH-Flietext"/>
    <w:autoRedefine/>
    <w:rPr>
      <w:b/>
      <w:bCs/>
    </w:rPr>
  </w:style>
  <w:style w:type="paragraph" w:customStyle="1" w:styleId="Info-VZH-berschrift1">
    <w:name w:val="Info-VZH-Überschrift1"/>
    <w:basedOn w:val="Standard"/>
    <w:autoRedefine/>
    <w:rPr>
      <w:rFonts w:ascii="Arial" w:hAnsi="Arial"/>
      <w:b/>
      <w:color w:val="000000"/>
    </w:rPr>
  </w:style>
  <w:style w:type="paragraph" w:customStyle="1" w:styleId="Info-VZH-Aufzhlung">
    <w:name w:val="Info-VZH-Aufzählung"/>
    <w:basedOn w:val="StrategieAufzhlung"/>
    <w:autoRedefine/>
    <w:pPr>
      <w:numPr>
        <w:numId w:val="18"/>
      </w:numPr>
    </w:pPr>
    <w:rPr>
      <w:sz w:val="18"/>
      <w:szCs w:val="18"/>
    </w:rPr>
  </w:style>
  <w:style w:type="paragraph" w:customStyle="1" w:styleId="Info-VZH-berschrift3">
    <w:name w:val="Info-VZH-Überschrift3"/>
    <w:basedOn w:val="Standard"/>
    <w:autoRedefine/>
    <w:rPr>
      <w:rFonts w:ascii="Arial" w:hAnsi="Arial"/>
      <w:sz w:val="18"/>
      <w:szCs w:val="18"/>
      <w:u w:val="single"/>
    </w:rPr>
  </w:style>
  <w:style w:type="paragraph" w:customStyle="1" w:styleId="Info-VZH-Flietext">
    <w:name w:val="Info-VZH-Fließtext"/>
    <w:basedOn w:val="StrategieAufzhlung"/>
    <w:autoRedefine/>
    <w:pPr>
      <w:numPr>
        <w:numId w:val="0"/>
      </w:numPr>
      <w:tabs>
        <w:tab w:val="left" w:pos="2268"/>
      </w:tabs>
    </w:pPr>
    <w:rPr>
      <w:sz w:val="18"/>
      <w:szCs w:val="18"/>
    </w:rPr>
  </w:style>
  <w:style w:type="paragraph" w:customStyle="1" w:styleId="FormatvorlageVZHAbb-Unterschrift">
    <w:name w:val="Formatvorlage VZH Abb.-Unterschrift +"/>
    <w:basedOn w:val="Standard"/>
    <w:autoRedefine/>
    <w:pPr>
      <w:tabs>
        <w:tab w:val="left" w:pos="720"/>
      </w:tabs>
      <w:spacing w:before="120" w:after="240"/>
      <w:ind w:left="720" w:hanging="720"/>
      <w:outlineLvl w:val="0"/>
    </w:pPr>
    <w:rPr>
      <w:rFonts w:ascii="Arial" w:hAnsi="Arial"/>
      <w:sz w:val="20"/>
      <w:szCs w:val="20"/>
    </w:rPr>
  </w:style>
  <w:style w:type="paragraph" w:customStyle="1" w:styleId="VZHAbb-Unterschrift">
    <w:name w:val="VZH Abb.-Unterschrift"/>
    <w:basedOn w:val="Standard"/>
    <w:autoRedefine/>
    <w:pPr>
      <w:tabs>
        <w:tab w:val="left" w:pos="720"/>
      </w:tabs>
      <w:spacing w:before="120" w:after="240"/>
      <w:ind w:left="720" w:hanging="720"/>
      <w:outlineLvl w:val="0"/>
    </w:pPr>
    <w:rPr>
      <w:rFonts w:ascii="Arial" w:hAnsi="Arial"/>
      <w:sz w:val="20"/>
      <w:szCs w:val="22"/>
    </w:rPr>
  </w:style>
  <w:style w:type="paragraph" w:customStyle="1" w:styleId="VZHTabellen-berschrift">
    <w:name w:val="VZH Tabellen-Überschrift"/>
    <w:basedOn w:val="Standard"/>
    <w:autoRedefine/>
    <w:pPr>
      <w:keepNext/>
      <w:tabs>
        <w:tab w:val="left" w:pos="720"/>
      </w:tabs>
      <w:spacing w:after="120"/>
      <w:outlineLvl w:val="0"/>
    </w:pPr>
    <w:rPr>
      <w:rFonts w:ascii="Arial" w:hAnsi="Arial"/>
      <w:b/>
      <w:sz w:val="20"/>
      <w:szCs w:val="20"/>
    </w:rPr>
  </w:style>
  <w:style w:type="paragraph" w:customStyle="1" w:styleId="FormatvorlageVZHAbsatzFlietextAutomatisch">
    <w:name w:val="Formatvorlage VZH Absatz Fließtext + Automatisch"/>
    <w:basedOn w:val="VZHAbsatzFlietext"/>
    <w:autoRedefine/>
  </w:style>
  <w:style w:type="paragraph" w:customStyle="1" w:styleId="FormatvorlageVZHAbsatzFlietextLinks">
    <w:name w:val="Formatvorlage VZH Absatz Fließtext + Links"/>
    <w:basedOn w:val="VZHAbsatzFlietext"/>
    <w:autoRedefine/>
    <w:pPr>
      <w:spacing w:before="0"/>
    </w:pPr>
    <w:rPr>
      <w:szCs w:val="20"/>
    </w:rPr>
  </w:style>
  <w:style w:type="paragraph" w:customStyle="1" w:styleId="INNVerzeichnisAufzhlung">
    <w:name w:val="INN Verzeichnis Aufzählung"/>
    <w:basedOn w:val="Standard"/>
    <w:pPr>
      <w:numPr>
        <w:numId w:val="21"/>
      </w:numPr>
      <w:tabs>
        <w:tab w:val="right" w:pos="9000"/>
      </w:tabs>
      <w:jc w:val="both"/>
    </w:pPr>
    <w:rPr>
      <w:rFonts w:ascii="Arial" w:hAnsi="Arial" w:cs="Arial"/>
      <w:sz w:val="22"/>
      <w:szCs w:val="22"/>
    </w:rPr>
  </w:style>
  <w:style w:type="paragraph" w:customStyle="1" w:styleId="INNVerzeichnisUnteraufzhlung">
    <w:name w:val="INN Verzeichnis Unteraufzählung"/>
    <w:basedOn w:val="Standard"/>
    <w:pPr>
      <w:tabs>
        <w:tab w:val="left" w:pos="720"/>
        <w:tab w:val="right" w:pos="9000"/>
      </w:tabs>
      <w:ind w:left="720" w:hanging="360"/>
      <w:textAlignment w:val="baseline"/>
    </w:pPr>
    <w:rPr>
      <w:rFonts w:ascii="Arial" w:hAnsi="Arial" w:cs="Arial"/>
      <w:sz w:val="22"/>
      <w:szCs w:val="22"/>
    </w:rPr>
  </w:style>
  <w:style w:type="character" w:customStyle="1" w:styleId="FormatvorlageArial11pt">
    <w:name w:val="Formatvorlage Arial 11 pt"/>
    <w:rPr>
      <w:rFonts w:ascii="Arial" w:hAnsi="Arial"/>
      <w:sz w:val="22"/>
    </w:rPr>
  </w:style>
  <w:style w:type="paragraph" w:styleId="Kopfzeile">
    <w:name w:val="header"/>
    <w:basedOn w:val="Standard"/>
    <w:autoRedefine/>
    <w:rsid w:val="001537CC"/>
    <w:pPr>
      <w:tabs>
        <w:tab w:val="center" w:pos="4536"/>
        <w:tab w:val="right" w:pos="9072"/>
      </w:tabs>
      <w:jc w:val="right"/>
    </w:pPr>
    <w:rPr>
      <w:rFonts w:ascii="Arial" w:hAnsi="Arial" w:cs="Arial"/>
      <w:sz w:val="18"/>
      <w:szCs w:val="18"/>
    </w:rPr>
  </w:style>
  <w:style w:type="paragraph" w:customStyle="1" w:styleId="berschrift">
    <w:name w:val="Überschrift"/>
    <w:basedOn w:val="Standard"/>
    <w:next w:val="Textkrper"/>
    <w:autoRedefine/>
    <w:pPr>
      <w:keepNext/>
    </w:pPr>
    <w:rPr>
      <w:rFonts w:eastAsia="MS Mincho" w:cs="Tahoma"/>
      <w:b/>
      <w:bCs/>
      <w:szCs w:val="28"/>
    </w:rPr>
  </w:style>
  <w:style w:type="paragraph" w:styleId="Textkrper">
    <w:name w:val="Body Text"/>
    <w:basedOn w:val="Standard"/>
    <w:pPr>
      <w:spacing w:after="120"/>
    </w:pPr>
  </w:style>
  <w:style w:type="paragraph" w:customStyle="1" w:styleId="Abb-Unterschrift">
    <w:name w:val="Abb.-Unterschrift"/>
    <w:basedOn w:val="Standard"/>
    <w:autoRedefine/>
    <w:rPr>
      <w:sz w:val="20"/>
    </w:rPr>
  </w:style>
  <w:style w:type="paragraph" w:customStyle="1" w:styleId="Tabellen-berschrift">
    <w:name w:val="Tabellen-Überschrift"/>
    <w:basedOn w:val="Standard"/>
    <w:autoRedefine/>
    <w:rPr>
      <w:b/>
      <w:sz w:val="20"/>
    </w:rPr>
  </w:style>
  <w:style w:type="paragraph" w:customStyle="1" w:styleId="Tabellen-berschrift1">
    <w:name w:val="Tabellen-Überschrift 1"/>
    <w:basedOn w:val="Tabellen-berschrift"/>
    <w:autoRedefine/>
  </w:style>
  <w:style w:type="paragraph" w:customStyle="1" w:styleId="Standard1">
    <w:name w:val="Standard 1"/>
    <w:basedOn w:val="Standard"/>
    <w:autoRedefine/>
  </w:style>
  <w:style w:type="paragraph" w:styleId="Funotentext">
    <w:name w:val="footnote text"/>
    <w:basedOn w:val="Standard"/>
    <w:link w:val="FunotentextZchn"/>
    <w:uiPriority w:val="99"/>
    <w:semiHidden/>
    <w:rPr>
      <w:rFonts w:cs="Times New Roman"/>
    </w:rPr>
  </w:style>
  <w:style w:type="character" w:styleId="Funotenzeichen">
    <w:name w:val="footnote reference"/>
    <w:uiPriority w:val="99"/>
    <w:semiHidden/>
    <w:rPr>
      <w:vertAlign w:val="superscript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Fett">
    <w:name w:val="Strong"/>
    <w:qFormat/>
    <w:rPr>
      <w:b/>
      <w:bCs/>
    </w:rPr>
  </w:style>
  <w:style w:type="character" w:customStyle="1" w:styleId="berschrift2Zchn">
    <w:name w:val="Überschrift 2 Zchn"/>
    <w:link w:val="berschrift2"/>
    <w:uiPriority w:val="9"/>
    <w:rPr>
      <w:rFonts w:eastAsia="Times New Roman"/>
      <w:b/>
      <w:bCs/>
      <w:sz w:val="36"/>
      <w:szCs w:val="36"/>
    </w:rPr>
  </w:style>
  <w:style w:type="character" w:customStyle="1" w:styleId="berschrift3Zchn">
    <w:name w:val="Überschrift 3 Zchn"/>
    <w:link w:val="berschrift3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Textkrper3">
    <w:name w:val="Body Text 3"/>
    <w:basedOn w:val="Standard"/>
    <w:link w:val="Textkrper3Zchn"/>
    <w:pPr>
      <w:spacing w:after="120"/>
    </w:pPr>
    <w:rPr>
      <w:sz w:val="16"/>
      <w:szCs w:val="16"/>
    </w:rPr>
  </w:style>
  <w:style w:type="character" w:customStyle="1" w:styleId="Textkrper3Zchn">
    <w:name w:val="Textkörper 3 Zchn"/>
    <w:link w:val="Textkrper3"/>
    <w:rPr>
      <w:rFonts w:ascii="Courier" w:eastAsia="Times New Roman" w:hAnsi="Courier" w:cs="Courier"/>
      <w:sz w:val="16"/>
      <w:szCs w:val="16"/>
    </w:rPr>
  </w:style>
  <w:style w:type="character" w:customStyle="1" w:styleId="berschrift1Zchn">
    <w:name w:val="Überschrift 1 Zchn"/>
    <w:link w:val="berschrift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Literaturverzeichnis">
    <w:name w:val="Bibliography"/>
    <w:basedOn w:val="Standard"/>
    <w:next w:val="Standard"/>
    <w:uiPriority w:val="37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Pr>
      <w:rFonts w:ascii="Courier" w:eastAsia="Times New Roman" w:hAnsi="Courier" w:cs="Courier"/>
      <w:sz w:val="24"/>
      <w:szCs w:val="24"/>
    </w:rPr>
  </w:style>
  <w:style w:type="character" w:styleId="Kommentarzeichen">
    <w:name w:val="annotation reference"/>
    <w:rPr>
      <w:sz w:val="16"/>
      <w:szCs w:val="16"/>
    </w:rPr>
  </w:style>
  <w:style w:type="paragraph" w:styleId="Kommentartext">
    <w:name w:val="annotation text"/>
    <w:basedOn w:val="Standard"/>
    <w:link w:val="KommentartextZchn"/>
    <w:rPr>
      <w:sz w:val="20"/>
      <w:szCs w:val="20"/>
    </w:rPr>
  </w:style>
  <w:style w:type="character" w:customStyle="1" w:styleId="KommentartextZchn">
    <w:name w:val="Kommentartext Zchn"/>
    <w:link w:val="Kommentartext"/>
    <w:rPr>
      <w:rFonts w:ascii="Courier" w:eastAsia="Times New Roman" w:hAnsi="Courier" w:cs="Courier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link w:val="Kommentarthema"/>
    <w:rPr>
      <w:rFonts w:ascii="Courier" w:eastAsia="Times New Roman" w:hAnsi="Courier" w:cs="Courier"/>
      <w:b/>
      <w:bCs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rFonts w:ascii="Courier" w:eastAsia="Times New Roman" w:hAnsi="Courier"/>
      <w:sz w:val="24"/>
      <w:szCs w:val="24"/>
    </w:rPr>
  </w:style>
  <w:style w:type="character" w:styleId="BesuchterLink">
    <w:name w:val="FollowedHyperlink"/>
    <w:basedOn w:val="Absatz-Standardschriftart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unhideWhenUsed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enabsatz">
    <w:name w:val="List Paragraph"/>
    <w:basedOn w:val="Standard"/>
    <w:uiPriority w:val="34"/>
    <w:qFormat/>
    <w:rsid w:val="002602AF"/>
    <w:pPr>
      <w:ind w:left="720"/>
      <w:contextualSpacing/>
    </w:pPr>
  </w:style>
  <w:style w:type="paragraph" w:customStyle="1" w:styleId="Default">
    <w:name w:val="Default"/>
    <w:rsid w:val="006A281C"/>
    <w:pPr>
      <w:autoSpaceDE w:val="0"/>
      <w:autoSpaceDN w:val="0"/>
      <w:adjustRightInd w:val="0"/>
    </w:pPr>
    <w:rPr>
      <w:rFonts w:ascii="Frutiger 45 Light" w:hAnsi="Frutiger 45 Light" w:cs="Frutiger 45 Light"/>
      <w:color w:val="000000"/>
      <w:sz w:val="24"/>
      <w:szCs w:val="24"/>
    </w:rPr>
  </w:style>
  <w:style w:type="character" w:customStyle="1" w:styleId="A5">
    <w:name w:val="A5"/>
    <w:uiPriority w:val="99"/>
    <w:rsid w:val="006A281C"/>
    <w:rPr>
      <w:rFonts w:cs="Frutiger 45 Light"/>
      <w:b/>
      <w:bCs/>
      <w:color w:val="000000"/>
      <w:sz w:val="32"/>
      <w:szCs w:val="32"/>
    </w:rPr>
  </w:style>
  <w:style w:type="character" w:customStyle="1" w:styleId="A2">
    <w:name w:val="A2"/>
    <w:uiPriority w:val="99"/>
    <w:rsid w:val="006A281C"/>
    <w:rPr>
      <w:rFonts w:cs="Frutiger 45 Light"/>
      <w:b/>
      <w:bCs/>
      <w:color w:val="000000"/>
      <w:sz w:val="20"/>
      <w:szCs w:val="20"/>
    </w:rPr>
  </w:style>
  <w:style w:type="paragraph" w:customStyle="1" w:styleId="c1">
    <w:name w:val="c1"/>
    <w:basedOn w:val="Standard"/>
    <w:rsid w:val="00A35A0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2">
    <w:name w:val="c2"/>
    <w:basedOn w:val="Absatz-Standardschriftart"/>
    <w:rsid w:val="00A35A0B"/>
  </w:style>
  <w:style w:type="paragraph" w:customStyle="1" w:styleId="Pa1">
    <w:name w:val="Pa1"/>
    <w:basedOn w:val="Standard"/>
    <w:next w:val="Standard"/>
    <w:uiPriority w:val="99"/>
    <w:rsid w:val="007C1692"/>
    <w:pPr>
      <w:widowControl/>
      <w:spacing w:line="181" w:lineRule="atLeast"/>
    </w:pPr>
    <w:rPr>
      <w:rFonts w:ascii="Frutiger 55 Roman" w:hAnsi="Frutiger 55 Roman" w:cstheme="minorBidi"/>
      <w:lang w:eastAsia="en-US"/>
    </w:rPr>
  </w:style>
  <w:style w:type="paragraph" w:customStyle="1" w:styleId="Pa13">
    <w:name w:val="Pa13"/>
    <w:basedOn w:val="Standard"/>
    <w:next w:val="Standard"/>
    <w:uiPriority w:val="99"/>
    <w:rsid w:val="007C1692"/>
    <w:pPr>
      <w:widowControl/>
      <w:spacing w:line="181" w:lineRule="atLeast"/>
    </w:pPr>
    <w:rPr>
      <w:rFonts w:ascii="Frutiger 55 Roman" w:hAnsi="Frutiger 55 Roman" w:cstheme="minorBidi"/>
      <w:lang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436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2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oeffentlichungen@nlwkn.niedersachsen.de" TargetMode="External"/><Relationship Id="rId13" Type="http://schemas.openxmlformats.org/officeDocument/2006/relationships/hyperlink" Target="https://www.nlwkn.niedersachsen.de/download/20157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nlwkn.niedersachsen.de/download/20157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lwkn.niedersachsen.de/download/201576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ebshop.nlwkn.niedersachsen.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lwkn.niedersachsen.de/veroeffentlichungen-naturschut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2986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Das Übereinkommen über die Biologische Vielfalt verpflichtet die Vertragsparteien u</vt:lpstr>
    </vt:vector>
  </TitlesOfParts>
  <Company>nlwkn</Company>
  <LinksUpToDate>false</LinksUpToDate>
  <CharactersWithSpaces>3283</CharactersWithSpaces>
  <SharedDoc>false</SharedDoc>
  <HLinks>
    <vt:vector size="6" baseType="variant">
      <vt:variant>
        <vt:i4>5046291</vt:i4>
      </vt:variant>
      <vt:variant>
        <vt:i4>0</vt:i4>
      </vt:variant>
      <vt:variant>
        <vt:i4>0</vt:i4>
      </vt:variant>
      <vt:variant>
        <vt:i4>5</vt:i4>
      </vt:variant>
      <vt:variant>
        <vt:lpwstr>http://www.nlwkn.niedersachsen.de/download/113213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Das Übereinkommen über die Biologische Vielfalt verpflichtet die Vertragsparteien u</dc:title>
  <dc:subject/>
  <dc:creator>NLWKN</dc:creator>
  <cp:keywords/>
  <cp:lastModifiedBy>ha429</cp:lastModifiedBy>
  <cp:revision>2</cp:revision>
  <cp:lastPrinted>2021-12-02T14:26:00Z</cp:lastPrinted>
  <dcterms:created xsi:type="dcterms:W3CDTF">2023-11-30T07:05:00Z</dcterms:created>
  <dcterms:modified xsi:type="dcterms:W3CDTF">2023-11-30T07:05:00Z</dcterms:modified>
</cp:coreProperties>
</file>